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D4" w:rsidRDefault="005F29D4" w:rsidP="005F29D4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5F29D4" w:rsidRPr="005F29D4" w:rsidRDefault="005F29D4" w:rsidP="005F29D4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29D4">
        <w:rPr>
          <w:rFonts w:ascii="Times New Roman" w:eastAsia="Calibri" w:hAnsi="Times New Roman" w:cs="Times New Roman"/>
          <w:b/>
          <w:bCs/>
          <w:sz w:val="28"/>
          <w:szCs w:val="28"/>
          <w:lang w:bidi="fa-IR"/>
        </w:rPr>
        <w:t xml:space="preserve">A new mononuclear </w:t>
      </w:r>
      <w:proofErr w:type="gramStart"/>
      <w:r w:rsidRPr="005F29D4">
        <w:rPr>
          <w:rFonts w:ascii="Times New Roman" w:eastAsia="Calibri" w:hAnsi="Times New Roman" w:cs="Times New Roman"/>
          <w:b/>
          <w:bCs/>
          <w:sz w:val="28"/>
          <w:szCs w:val="28"/>
          <w:lang w:bidi="fa-IR"/>
        </w:rPr>
        <w:t>ruthenium(</w:t>
      </w:r>
      <w:proofErr w:type="gramEnd"/>
      <w:r w:rsidRPr="005F29D4">
        <w:rPr>
          <w:rFonts w:ascii="Times New Roman" w:eastAsia="Calibri" w:hAnsi="Times New Roman" w:cs="Times New Roman"/>
          <w:b/>
          <w:bCs/>
          <w:sz w:val="28"/>
          <w:szCs w:val="28"/>
          <w:lang w:bidi="fa-IR"/>
        </w:rPr>
        <w:t xml:space="preserve">II) complex, </w:t>
      </w:r>
      <w:r w:rsidRPr="005F29D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fa-IR"/>
        </w:rPr>
        <w:t>trans</w:t>
      </w:r>
      <w:r w:rsidRPr="005F29D4">
        <w:rPr>
          <w:rFonts w:ascii="Times New Roman" w:eastAsia="Calibri" w:hAnsi="Times New Roman" w:cs="Times New Roman"/>
          <w:b/>
          <w:bCs/>
          <w:sz w:val="28"/>
          <w:szCs w:val="28"/>
          <w:lang w:bidi="fa-IR"/>
        </w:rPr>
        <w:t>-[Ru(dmb)</w:t>
      </w:r>
      <w:r w:rsidRPr="005F29D4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  <w:lang w:bidi="fa-IR"/>
        </w:rPr>
        <w:t>2</w:t>
      </w:r>
      <w:r w:rsidRPr="005F29D4">
        <w:rPr>
          <w:rFonts w:ascii="Times New Roman" w:eastAsia="Calibri" w:hAnsi="Times New Roman" w:cs="Times New Roman"/>
          <w:b/>
          <w:bCs/>
          <w:sz w:val="28"/>
          <w:szCs w:val="28"/>
          <w:lang w:bidi="fa-IR"/>
        </w:rPr>
        <w:t>(</w:t>
      </w:r>
      <w:proofErr w:type="spellStart"/>
      <w:r w:rsidRPr="005F29D4">
        <w:rPr>
          <w:rFonts w:ascii="Times New Roman" w:eastAsia="Calibri" w:hAnsi="Times New Roman" w:cs="Times New Roman"/>
          <w:b/>
          <w:bCs/>
          <w:sz w:val="28"/>
          <w:szCs w:val="28"/>
          <w:lang w:bidi="fa-IR"/>
        </w:rPr>
        <w:t>Cl</w:t>
      </w:r>
      <w:proofErr w:type="spellEnd"/>
      <w:r w:rsidRPr="005F29D4">
        <w:rPr>
          <w:rFonts w:ascii="Times New Roman" w:eastAsia="Calibri" w:hAnsi="Times New Roman" w:cs="Times New Roman"/>
          <w:b/>
          <w:bCs/>
          <w:sz w:val="28"/>
          <w:szCs w:val="28"/>
          <w:lang w:bidi="fa-IR"/>
        </w:rPr>
        <w:t>)(EtOH)](PF</w:t>
      </w:r>
      <w:r w:rsidRPr="005F29D4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  <w:lang w:bidi="fa-IR"/>
        </w:rPr>
        <w:t>6</w:t>
      </w:r>
      <w:r w:rsidRPr="005F29D4">
        <w:rPr>
          <w:rFonts w:ascii="Times New Roman" w:eastAsia="Calibri" w:hAnsi="Times New Roman" w:cs="Times New Roman"/>
          <w:b/>
          <w:bCs/>
          <w:sz w:val="28"/>
          <w:szCs w:val="28"/>
          <w:lang w:bidi="fa-IR"/>
        </w:rPr>
        <w:t>) (dmb = 4,4</w:t>
      </w:r>
      <w:r w:rsidRPr="005F29D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fa-IR"/>
        </w:rPr>
        <w:t>'</w:t>
      </w:r>
      <w:r w:rsidRPr="005F29D4">
        <w:rPr>
          <w:rFonts w:ascii="Times New Roman" w:eastAsia="Calibri" w:hAnsi="Times New Roman" w:cs="Times New Roman"/>
          <w:b/>
          <w:bCs/>
          <w:sz w:val="28"/>
          <w:szCs w:val="28"/>
          <w:lang w:bidi="fa-IR"/>
        </w:rPr>
        <w:t>-dimethyl-2,2</w:t>
      </w:r>
      <w:r w:rsidRPr="005F29D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fa-IR"/>
        </w:rPr>
        <w:t>'</w:t>
      </w:r>
      <w:r w:rsidRPr="005F29D4">
        <w:rPr>
          <w:rFonts w:ascii="Times New Roman" w:eastAsia="Calibri" w:hAnsi="Times New Roman" w:cs="Times New Roman"/>
          <w:b/>
          <w:bCs/>
          <w:sz w:val="28"/>
          <w:szCs w:val="28"/>
          <w:lang w:bidi="fa-IR"/>
        </w:rPr>
        <w:t>-bipyridine), has been prepared and characterized by elemental analysis, spectroscopic techniques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bidi="fa-IR"/>
        </w:rPr>
        <w:t xml:space="preserve"> (NMR, IR and UV-vis),</w:t>
      </w:r>
      <w:r w:rsidRPr="005F29D4">
        <w:rPr>
          <w:rFonts w:ascii="Times New Roman" w:eastAsia="Calibri" w:hAnsi="Times New Roman" w:cs="Times New Roman"/>
          <w:b/>
          <w:bCs/>
          <w:sz w:val="28"/>
          <w:szCs w:val="28"/>
          <w:lang w:bidi="fa-IR"/>
        </w:rPr>
        <w:t xml:space="preserve"> and single crystal X-ray structure determination. The complex was studied as a precatalyst for the electrocatalytic reduction of CO</w:t>
      </w:r>
      <w:r w:rsidRPr="005F29D4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  <w:lang w:bidi="fa-IR"/>
        </w:rPr>
        <w:t>2</w:t>
      </w:r>
      <w:r w:rsidRPr="005F29D4">
        <w:rPr>
          <w:rFonts w:ascii="Times New Roman" w:eastAsia="Calibri" w:hAnsi="Times New Roman" w:cs="Times New Roman"/>
          <w:b/>
          <w:bCs/>
          <w:sz w:val="28"/>
          <w:szCs w:val="28"/>
          <w:lang w:bidi="fa-IR"/>
        </w:rPr>
        <w:t xml:space="preserve"> to CO in an acetonitrile solution by cyclic voltammetry (CV). The catalytic mechanism was investigated by means of quantum chemical calculations to gain deeper insight into the process of CO</w:t>
      </w:r>
      <w:r w:rsidRPr="005F29D4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  <w:lang w:bidi="fa-IR"/>
        </w:rPr>
        <w:t>2</w:t>
      </w:r>
      <w:r w:rsidRPr="005F29D4">
        <w:rPr>
          <w:rFonts w:ascii="Times New Roman" w:eastAsia="Calibri" w:hAnsi="Times New Roman" w:cs="Times New Roman"/>
          <w:b/>
          <w:bCs/>
          <w:sz w:val="28"/>
          <w:szCs w:val="28"/>
          <w:lang w:bidi="fa-IR"/>
        </w:rPr>
        <w:t xml:space="preserve"> reduction. The results suggest that the reaction proceeds in six steps initiating by the two sequential 1ē reductions at the dmb ligands followed by CO</w:t>
      </w:r>
      <w:r w:rsidRPr="005F29D4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  <w:lang w:bidi="fa-IR"/>
        </w:rPr>
        <w:t>2</w:t>
      </w:r>
      <w:r w:rsidRPr="005F29D4">
        <w:rPr>
          <w:rFonts w:ascii="Times New Roman" w:eastAsia="Calibri" w:hAnsi="Times New Roman" w:cs="Times New Roman"/>
          <w:b/>
          <w:bCs/>
          <w:sz w:val="28"/>
          <w:szCs w:val="28"/>
          <w:lang w:bidi="fa-IR"/>
        </w:rPr>
        <w:t xml:space="preserve"> addition to give a metallocarboxylate intermediate. </w:t>
      </w:r>
    </w:p>
    <w:p w:rsidR="00FD4432" w:rsidRDefault="00FD4432">
      <w:pPr>
        <w:rPr>
          <w:rFonts w:hint="cs"/>
        </w:rPr>
      </w:pPr>
    </w:p>
    <w:sectPr w:rsidR="00FD4432" w:rsidSect="007722B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9D4"/>
    <w:rsid w:val="005F29D4"/>
    <w:rsid w:val="007722BA"/>
    <w:rsid w:val="007F3F52"/>
    <w:rsid w:val="00FD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D4"/>
    <w:rPr>
      <w:rFonts w:ascii="Calibri" w:eastAsia="Times New Roman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hadadzadeh</dc:creator>
  <cp:keywords/>
  <dc:description/>
  <cp:lastModifiedBy>hadadzadeh</cp:lastModifiedBy>
  <cp:revision>1</cp:revision>
  <dcterms:created xsi:type="dcterms:W3CDTF">2014-07-17T06:12:00Z</dcterms:created>
  <dcterms:modified xsi:type="dcterms:W3CDTF">2014-07-17T06:14:00Z</dcterms:modified>
</cp:coreProperties>
</file>